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2FC" w:rsidRPr="00B722FC" w:rsidRDefault="00B722FC" w:rsidP="00B722FC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B722FC">
        <w:rPr>
          <w:rFonts w:ascii="宋体" w:eastAsia="宋体" w:hAnsi="宋体" w:cs="宋体" w:hint="eastAsia"/>
          <w:b/>
          <w:color w:val="000000"/>
          <w:kern w:val="0"/>
          <w:szCs w:val="21"/>
        </w:rPr>
        <w:t>第五章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722FC">
        <w:rPr>
          <w:rFonts w:ascii="宋体" w:eastAsia="宋体" w:hAnsi="宋体" w:cs="宋体" w:hint="eastAsia"/>
          <w:b/>
          <w:color w:val="000000"/>
          <w:kern w:val="0"/>
          <w:szCs w:val="21"/>
        </w:rPr>
        <w:t>长期股权投资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722FC">
        <w:rPr>
          <w:rFonts w:ascii="宋体" w:eastAsia="宋体" w:hAnsi="宋体" w:cs="宋体" w:hint="eastAsia"/>
          <w:b/>
          <w:color w:val="000000"/>
          <w:kern w:val="0"/>
          <w:szCs w:val="21"/>
        </w:rPr>
        <w:t>第一节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722FC">
        <w:rPr>
          <w:rFonts w:ascii="宋体" w:eastAsia="宋体" w:hAnsi="宋体" w:cs="宋体" w:hint="eastAsia"/>
          <w:b/>
          <w:color w:val="000000"/>
          <w:kern w:val="0"/>
          <w:szCs w:val="21"/>
        </w:rPr>
        <w:t>长期股权投资的范围和初始计量</w:t>
      </w:r>
    </w:p>
    <w:p w:rsidR="00974F3B" w:rsidRDefault="00B722FC" w:rsidP="00B722FC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410075"/>
            <wp:effectExtent l="19050" t="0" r="9525" b="0"/>
            <wp:docPr id="1" name="图片 1" descr="中级会计职称《中级会计实务》高频考点：长期股权投资的初始计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中级会计职称《中级会计实务》高频考点：长期股权投资的初始计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41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2886075"/>
            <wp:effectExtent l="19050" t="0" r="9525" b="0"/>
            <wp:docPr id="2" name="图片 2" descr="中级会计职称《中级会计实务》高频考点：长期股权投资的初始计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中级会计职称《中级会计实务》高频考点：长期股权投资的初始计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2FC" w:rsidRDefault="00B722FC" w:rsidP="00B722FC">
      <w:pPr>
        <w:rPr>
          <w:rFonts w:hint="eastAsia"/>
        </w:rPr>
      </w:pPr>
    </w:p>
    <w:p w:rsidR="00B722FC" w:rsidRDefault="00B722FC" w:rsidP="00B722FC">
      <w:pPr>
        <w:rPr>
          <w:rFonts w:hint="eastAsia"/>
        </w:rPr>
      </w:pPr>
    </w:p>
    <w:p w:rsidR="00B722FC" w:rsidRDefault="00B722FC" w:rsidP="00B722FC">
      <w:pPr>
        <w:rPr>
          <w:rFonts w:hint="eastAsia"/>
        </w:rPr>
      </w:pPr>
    </w:p>
    <w:p w:rsidR="00B722FC" w:rsidRDefault="00B722FC" w:rsidP="00B722FC">
      <w:pPr>
        <w:rPr>
          <w:rFonts w:hint="eastAsia"/>
        </w:rPr>
      </w:pPr>
    </w:p>
    <w:p w:rsidR="00B722FC" w:rsidRPr="00B722FC" w:rsidRDefault="00B722FC" w:rsidP="00B722FC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B722FC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第五章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722FC">
        <w:rPr>
          <w:rFonts w:ascii="宋体" w:eastAsia="宋体" w:hAnsi="宋体" w:cs="宋体" w:hint="eastAsia"/>
          <w:b/>
          <w:color w:val="000000"/>
          <w:kern w:val="0"/>
          <w:szCs w:val="21"/>
        </w:rPr>
        <w:t>长期股权投资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722FC">
        <w:rPr>
          <w:rFonts w:ascii="宋体" w:eastAsia="宋体" w:hAnsi="宋体" w:cs="宋体" w:hint="eastAsia"/>
          <w:b/>
          <w:color w:val="000000"/>
          <w:kern w:val="0"/>
          <w:szCs w:val="21"/>
        </w:rPr>
        <w:t>第二节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722FC">
        <w:rPr>
          <w:rFonts w:ascii="宋体" w:eastAsia="宋体" w:hAnsi="宋体" w:cs="宋体" w:hint="eastAsia"/>
          <w:b/>
          <w:color w:val="000000"/>
          <w:kern w:val="0"/>
          <w:szCs w:val="21"/>
        </w:rPr>
        <w:t>长期股权投资的后续计量</w:t>
      </w:r>
    </w:p>
    <w:p w:rsidR="00B722FC" w:rsidRDefault="00B722FC" w:rsidP="00B722FC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248150"/>
            <wp:effectExtent l="19050" t="0" r="9525" b="0"/>
            <wp:docPr id="5" name="图片 5" descr="中级职称《中级会计实务》高频考点：长期股权投资的后续计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中级职称《中级会计实务》高频考点：长期股权投资的后续计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24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838575"/>
            <wp:effectExtent l="19050" t="0" r="9525" b="0"/>
            <wp:docPr id="6" name="图片 6" descr="中级职称《中级会计实务》高频考点：长期股权投资的后续计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中级职称《中级会计实务》高频考点：长期股权投资的后续计量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3590925"/>
            <wp:effectExtent l="19050" t="0" r="9525" b="0"/>
            <wp:docPr id="7" name="图片 7" descr="中级职称《中级会计实务》高频考点：长期股权投资的后续计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中级职称《中级会计实务》高频考点：长期股权投资的后续计量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209925"/>
            <wp:effectExtent l="19050" t="0" r="9525" b="0"/>
            <wp:docPr id="8" name="图片 8" descr="中级职称《中级会计实务》高频考点：长期股权投资的后续计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中级职称《中级会计实务》高频考点：长期股权投资的后续计量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781050"/>
            <wp:effectExtent l="19050" t="0" r="9525" b="0"/>
            <wp:docPr id="9" name="图片 9" descr="中级职称《中级会计实务》高频考点：长期股权投资的后续计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中级职称《中级会计实务》高频考点：长期股权投资的后续计量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2FC" w:rsidRDefault="00B722FC" w:rsidP="00B722FC">
      <w:pPr>
        <w:rPr>
          <w:rFonts w:hint="eastAsia"/>
        </w:rPr>
      </w:pPr>
    </w:p>
    <w:p w:rsidR="00B722FC" w:rsidRDefault="00B722FC" w:rsidP="00B722FC">
      <w:pPr>
        <w:rPr>
          <w:rFonts w:hint="eastAsia"/>
        </w:rPr>
      </w:pPr>
    </w:p>
    <w:p w:rsidR="00B722FC" w:rsidRDefault="00B722FC" w:rsidP="00B722FC">
      <w:pPr>
        <w:rPr>
          <w:rFonts w:hint="eastAsia"/>
        </w:rPr>
      </w:pPr>
    </w:p>
    <w:p w:rsidR="00B722FC" w:rsidRDefault="00B722FC" w:rsidP="00B722FC">
      <w:pPr>
        <w:rPr>
          <w:rFonts w:hint="eastAsia"/>
        </w:rPr>
      </w:pPr>
    </w:p>
    <w:p w:rsidR="00B722FC" w:rsidRPr="00B722FC" w:rsidRDefault="00B722FC" w:rsidP="00B722FC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B722FC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第五章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722FC">
        <w:rPr>
          <w:rFonts w:ascii="宋体" w:eastAsia="宋体" w:hAnsi="宋体" w:cs="宋体" w:hint="eastAsia"/>
          <w:b/>
          <w:color w:val="000000"/>
          <w:kern w:val="0"/>
          <w:szCs w:val="21"/>
        </w:rPr>
        <w:t>长期股权投资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722FC">
        <w:rPr>
          <w:rFonts w:ascii="宋体" w:eastAsia="宋体" w:hAnsi="宋体" w:cs="宋体" w:hint="eastAsia"/>
          <w:b/>
          <w:color w:val="000000"/>
          <w:kern w:val="0"/>
          <w:szCs w:val="21"/>
        </w:rPr>
        <w:t>第二节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722FC">
        <w:rPr>
          <w:rFonts w:ascii="宋体" w:eastAsia="宋体" w:hAnsi="宋体" w:cs="宋体" w:hint="eastAsia"/>
          <w:b/>
          <w:color w:val="000000"/>
          <w:kern w:val="0"/>
          <w:szCs w:val="21"/>
        </w:rPr>
        <w:t>长期股权投资的后续计量</w:t>
      </w:r>
    </w:p>
    <w:p w:rsidR="00B722FC" w:rsidRDefault="00B722FC" w:rsidP="00B722FC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390900"/>
            <wp:effectExtent l="19050" t="0" r="9525" b="0"/>
            <wp:docPr id="15" name="图片 15" descr="《中级会计实务》高频考点：长期股权投资核算方法的转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《中级会计实务》高频考点：长期股权投资核算方法的转换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38800" cy="4724400"/>
            <wp:effectExtent l="19050" t="0" r="0" b="0"/>
            <wp:docPr id="16" name="图片 16" descr="《中级会计实务》高频考点：长期股权投资核算方法的转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《中级会计实务》高频考点：长期股权投资核算方法的转换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472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4752975"/>
            <wp:effectExtent l="19050" t="0" r="9525" b="0"/>
            <wp:docPr id="17" name="图片 17" descr="《中级会计实务》高频考点：长期股权投资核算方法的转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《中级会计实务》高频考点：长期股权投资核算方法的转换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609975"/>
            <wp:effectExtent l="19050" t="0" r="9525" b="0"/>
            <wp:docPr id="18" name="图片 18" descr="《中级会计实务》高频考点：长期股权投资核算方法的转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《中级会计实务》高频考点：长期股权投资核算方法的转换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60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3505200"/>
            <wp:effectExtent l="19050" t="0" r="9525" b="0"/>
            <wp:docPr id="19" name="图片 19" descr="《中级会计实务》高频考点：长期股权投资核算方法的转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《中级会计实务》高频考点：长期股权投资核算方法的转换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4810125"/>
            <wp:effectExtent l="19050" t="0" r="9525" b="0"/>
            <wp:docPr id="20" name="图片 20" descr="《中级会计实务》高频考点：长期股权投资核算方法的转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《中级会计实务》高频考点：长期股权投资核算方法的转换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81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4371975"/>
            <wp:effectExtent l="19050" t="0" r="9525" b="0"/>
            <wp:docPr id="21" name="图片 21" descr="《中级会计实务》高频考点：长期股权投资核算方法的转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《中级会计实务》高频考点：长期股权投资核算方法的转换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429000"/>
            <wp:effectExtent l="19050" t="0" r="9525" b="0"/>
            <wp:docPr id="22" name="图片 22" descr="《中级会计实务》高频考点：长期股权投资核算方法的转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《中级会计实务》高频考点：长期股权投资核算方法的转换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2FC" w:rsidRDefault="00B722FC" w:rsidP="00B722FC">
      <w:pPr>
        <w:rPr>
          <w:rFonts w:hint="eastAsia"/>
        </w:rPr>
      </w:pPr>
    </w:p>
    <w:p w:rsidR="00B722FC" w:rsidRDefault="00B722FC" w:rsidP="00B722FC">
      <w:pPr>
        <w:rPr>
          <w:rFonts w:hint="eastAsia"/>
        </w:rPr>
      </w:pPr>
    </w:p>
    <w:p w:rsidR="00B722FC" w:rsidRDefault="00B722FC" w:rsidP="00B722FC">
      <w:pPr>
        <w:rPr>
          <w:rFonts w:hint="eastAsia"/>
        </w:rPr>
      </w:pPr>
    </w:p>
    <w:p w:rsidR="00B722FC" w:rsidRPr="00B722FC" w:rsidRDefault="00B722FC" w:rsidP="00B722FC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B722FC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第五章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722FC">
        <w:rPr>
          <w:rFonts w:ascii="宋体" w:eastAsia="宋体" w:hAnsi="宋体" w:cs="宋体" w:hint="eastAsia"/>
          <w:b/>
          <w:color w:val="000000"/>
          <w:kern w:val="0"/>
          <w:szCs w:val="21"/>
        </w:rPr>
        <w:t>长期股权投资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722FC">
        <w:rPr>
          <w:rFonts w:ascii="宋体" w:eastAsia="宋体" w:hAnsi="宋体" w:cs="宋体" w:hint="eastAsia"/>
          <w:b/>
          <w:color w:val="000000"/>
          <w:kern w:val="0"/>
          <w:szCs w:val="21"/>
        </w:rPr>
        <w:t>第二节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722FC">
        <w:rPr>
          <w:rFonts w:ascii="宋体" w:eastAsia="宋体" w:hAnsi="宋体" w:cs="宋体" w:hint="eastAsia"/>
          <w:b/>
          <w:color w:val="000000"/>
          <w:kern w:val="0"/>
          <w:szCs w:val="21"/>
        </w:rPr>
        <w:t>长期股权投资的后续计量</w:t>
      </w:r>
    </w:p>
    <w:p w:rsidR="00B722FC" w:rsidRDefault="00B722FC" w:rsidP="00B722FC">
      <w:pPr>
        <w:rPr>
          <w:rFonts w:hint="eastAsia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419475"/>
            <wp:effectExtent l="19050" t="0" r="9525" b="0"/>
            <wp:docPr id="31" name="图片 31" descr="中级会计职称《中级会计实务》高频考点：长期股权投资减值和处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中级会计职称《中级会计实务》高频考点：长期股权投资减值和处置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41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3590925"/>
            <wp:effectExtent l="19050" t="0" r="9525" b="0"/>
            <wp:docPr id="32" name="图片 32" descr="中级会计职称《中级会计实务》高频考点：长期股权投资减值和处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中级会计职称《中级会计实务》高频考点：长期股权投资减值和处置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2FC" w:rsidRDefault="00B722FC" w:rsidP="00B722FC">
      <w:pPr>
        <w:rPr>
          <w:rFonts w:hint="eastAsia"/>
        </w:rPr>
      </w:pPr>
    </w:p>
    <w:p w:rsidR="00B722FC" w:rsidRDefault="00B722FC" w:rsidP="00B722FC">
      <w:pPr>
        <w:rPr>
          <w:rFonts w:hint="eastAsia"/>
        </w:rPr>
      </w:pPr>
    </w:p>
    <w:p w:rsidR="00B722FC" w:rsidRDefault="00B722FC" w:rsidP="00B722FC">
      <w:pPr>
        <w:rPr>
          <w:rFonts w:hint="eastAsia"/>
        </w:rPr>
      </w:pPr>
    </w:p>
    <w:p w:rsidR="00B722FC" w:rsidRDefault="00B722FC" w:rsidP="00B722FC">
      <w:pPr>
        <w:rPr>
          <w:rFonts w:hint="eastAsia"/>
        </w:rPr>
      </w:pPr>
    </w:p>
    <w:p w:rsidR="00B722FC" w:rsidRDefault="00B722FC" w:rsidP="00B722FC">
      <w:pPr>
        <w:rPr>
          <w:rFonts w:hint="eastAsia"/>
        </w:rPr>
      </w:pPr>
    </w:p>
    <w:p w:rsidR="00B722FC" w:rsidRDefault="00B722FC" w:rsidP="00B722FC">
      <w:pPr>
        <w:rPr>
          <w:rFonts w:hint="eastAsia"/>
        </w:rPr>
      </w:pPr>
    </w:p>
    <w:p w:rsidR="00B722FC" w:rsidRPr="00B722FC" w:rsidRDefault="00B722FC" w:rsidP="00B722FC">
      <w:pPr>
        <w:widowControl/>
        <w:spacing w:before="150" w:after="150" w:line="360" w:lineRule="atLeast"/>
        <w:ind w:firstLine="480"/>
        <w:jc w:val="left"/>
        <w:rPr>
          <w:rFonts w:ascii="宋体" w:eastAsia="宋体" w:hAnsi="宋体" w:cs="宋体"/>
          <w:b/>
          <w:color w:val="000000"/>
          <w:kern w:val="0"/>
          <w:szCs w:val="21"/>
        </w:rPr>
      </w:pPr>
      <w:r w:rsidRPr="00B722FC">
        <w:rPr>
          <w:rFonts w:ascii="宋体" w:eastAsia="宋体" w:hAnsi="宋体" w:cs="宋体" w:hint="eastAsia"/>
          <w:b/>
          <w:color w:val="000000"/>
          <w:kern w:val="0"/>
          <w:szCs w:val="21"/>
        </w:rPr>
        <w:lastRenderedPageBreak/>
        <w:t>第五章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722FC">
        <w:rPr>
          <w:rFonts w:ascii="宋体" w:eastAsia="宋体" w:hAnsi="宋体" w:cs="宋体" w:hint="eastAsia"/>
          <w:b/>
          <w:color w:val="000000"/>
          <w:kern w:val="0"/>
          <w:szCs w:val="21"/>
        </w:rPr>
        <w:t>长期股权投资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722FC">
        <w:rPr>
          <w:rFonts w:ascii="宋体" w:eastAsia="宋体" w:hAnsi="宋体" w:cs="宋体" w:hint="eastAsia"/>
          <w:b/>
          <w:color w:val="000000"/>
          <w:kern w:val="0"/>
          <w:szCs w:val="21"/>
        </w:rPr>
        <w:t>第三节</w:t>
      </w:r>
      <w:r>
        <w:rPr>
          <w:rFonts w:ascii="宋体" w:eastAsia="宋体" w:hAnsi="宋体" w:cs="宋体" w:hint="eastAsia"/>
          <w:b/>
          <w:color w:val="000000"/>
          <w:kern w:val="0"/>
          <w:szCs w:val="21"/>
        </w:rPr>
        <w:t xml:space="preserve"> </w:t>
      </w:r>
      <w:r w:rsidRPr="00B722FC">
        <w:rPr>
          <w:rFonts w:ascii="宋体" w:eastAsia="宋体" w:hAnsi="宋体" w:cs="宋体" w:hint="eastAsia"/>
          <w:b/>
          <w:color w:val="000000"/>
          <w:kern w:val="0"/>
          <w:szCs w:val="21"/>
        </w:rPr>
        <w:t>共同经营</w:t>
      </w:r>
    </w:p>
    <w:p w:rsidR="00B722FC" w:rsidRDefault="00B722FC" w:rsidP="00B722FC"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38800" cy="4029075"/>
            <wp:effectExtent l="19050" t="0" r="0" b="0"/>
            <wp:docPr id="35" name="图片 35" descr="2016年中级会计职称《中级会计实务》高频考点：共同经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2016年中级会计职称《中级会计实务》高频考点：共同经营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648325" cy="4448175"/>
            <wp:effectExtent l="19050" t="0" r="9525" b="0"/>
            <wp:docPr id="36" name="图片 36" descr="2016年中级会计职称《中级会计实务》高频考点：共同经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2016年中级会计职称《中级会计实务》高频考点：共同经营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444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648325" cy="2971800"/>
            <wp:effectExtent l="19050" t="0" r="9525" b="0"/>
            <wp:docPr id="37" name="图片 37" descr="2016年中级会计职称《中级会计实务》高频考点：共同经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2016年中级会计职称《中级会计实务》高频考点：共同经营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22FC" w:rsidSect="00974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896" w:rsidRDefault="000C6896" w:rsidP="00B722FC">
      <w:r>
        <w:separator/>
      </w:r>
    </w:p>
  </w:endnote>
  <w:endnote w:type="continuationSeparator" w:id="0">
    <w:p w:rsidR="000C6896" w:rsidRDefault="000C6896" w:rsidP="00B72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896" w:rsidRDefault="000C6896" w:rsidP="00B722FC">
      <w:r>
        <w:separator/>
      </w:r>
    </w:p>
  </w:footnote>
  <w:footnote w:type="continuationSeparator" w:id="0">
    <w:p w:rsidR="000C6896" w:rsidRDefault="000C6896" w:rsidP="00B722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22FC"/>
    <w:rsid w:val="000C6896"/>
    <w:rsid w:val="00974F3B"/>
    <w:rsid w:val="00B7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F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22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22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22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22F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722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722F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722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0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148</Characters>
  <Application>Microsoft Office Word</Application>
  <DocSecurity>0</DocSecurity>
  <Lines>1</Lines>
  <Paragraphs>1</Paragraphs>
  <ScaleCrop>false</ScaleCrop>
  <Company>cdel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2016-09-02T03:16:00Z</dcterms:created>
  <dcterms:modified xsi:type="dcterms:W3CDTF">2016-09-02T03:19:00Z</dcterms:modified>
</cp:coreProperties>
</file>